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Клиническая фармакология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Клиническая фармакология | Записей: 2</w:t>
      </w:r>
    </w:p>
    <w:p>
      <w:r>
        <w:br w:type="page"/>
      </w:r>
    </w:p>
    <w:p>
      <w:pPr>
        <w:pStyle w:val="Heading1"/>
      </w:pPr>
      <w:r>
        <w:t>Клиническая фармакология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Врач-клинический фармаколог вызван на консультацию к больной В. 53 лет. Поставлен диагноз Острый пиелонефрит нетяжелого течения, неосложненный. Назначена антибактериальная терапия – Ципрофлоксацин.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боли в поясничной области слева, повышение температуры тела до 37.50С, учащенное мочеиспускание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пациентки, она больна в течение недели. Заболевание связывает с переохлаждением. К врачу не обращалась. Для снижения температуры принимала жаропонижающие средства.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 Наследственный анамнез не отягощен. Вредные привычки отрицает. Сопутствующие заболевания: ИБС. Пароксизмальная форма мерцательной аритмии. ХОБЛ. Принимает постоянно Теофиллин, Варфарин.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Объективно: состояние больной удовлетворительное. Симптом Пастернацкого с левой стороны положительный. Общий анализ крови – лейкоцитоз со сдвигом влево. Общий анализ мочи – реакция кислая, белок – следы, лейкоциты – покрывают все поле зрения, эритроциты – 5-6 в поле зрения. УЗИ почек. Правая почка: размеры 113х52 см, подвижность сохранена, контуры ровные, паренхима 17 мм. Левая почка: размеры 115х52 см, подвижность сохранена контуры ровные, паренхима 18 мм. Обзорная и экскреторная урография – признаки левостороннего острого пиелонефрита с расширением и деформацией чашек и лоханки слева.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Лекарственное средство Ципрофлоксацин для эмпирической антимикробной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выбрано верно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противопоказано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выбрано неверно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применяется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выбрано верно</w:t>
      </w:r>
    </w:p>
    <w:p>
      <w:pPr>
        <w:ind w:left="504"/>
      </w:pPr>
      <w:r>
        <w:rPr>
          <w:b w:val="0"/>
          <w:i/>
        </w:rPr>
        <w:t>Препаратами выбора эмпирической терапии для перорального приема (при отсутствии факторов, ухудшающих всасывание) при остром неосложненном пиелонефрите нетяжелого течения, являются Левофлоксацин и Ципрофлоксацин.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Ципрофлоксацин применяется в дозе ++___++ мг х 2 раза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В данном случае Ципрофлоксацин должен применятся в дозе 500-750 мг х 2 раза в сутки – 7-10 дней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Длительность антибактериальной терапии острого неосложнённого пиелонефрита лёгкой и средней степени тяжести составляет ++___++ дней/дня/день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При рецидивировании острого неосложнённого пиелонефрита лёгкой и средней степени тяжести рекомендуется назначение антибактериальной терапии в течение 10–14 дней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диагностировании острого неосложнённого пиелонефрита лёгкой и средней степени тяжести рекомендуется назначение ++____________________++ антибактериальной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внутримышечной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пероральной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внутривенной длительной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внутривенной капельной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пероральной</w:t>
      </w:r>
    </w:p>
    <w:p>
      <w:pPr>
        <w:ind w:left="504"/>
      </w:pPr>
      <w:r>
        <w:rPr>
          <w:b w:val="0"/>
          <w:i/>
        </w:rPr>
        <w:t>Пероральная эмпирическая антибактериальная терапия показана пациентам с острым неосложнённым пиелонефритом лёгкой и средней степени тяжести при отсутствии факторов, ухудшающих всасывание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Ципрофлоксацин ++____++ активность процессов микросомального окисления в гепатоцитах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ускоряет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повышает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снижает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влияет 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снижает</w:t>
      </w:r>
    </w:p>
    <w:p>
      <w:pPr>
        <w:ind w:left="504"/>
      </w:pPr>
      <w:r>
        <w:rPr>
          <w:b w:val="0"/>
          <w:i/>
        </w:rPr>
        <w:t>Ципрофлоксацин, являясь ингибитором печеночных ферментов снижает активность процессов микросомального окисления в гепатоцитах</w:t>
        <w:br/>
        <w:br/>
        <w:t>Инструкция по медицинскому применению лекарственного средства Ципрофлоксацин</w:t>
        <w:br/>
        <w:br/>
        <w:t>Фармакокинетика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данном случае возможно лекарственное взаимодействие между Ципрофлоксацином и теофиллином с повышением/удлинением ++____++ теофиллина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F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Cl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Vd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T 1/2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T 1/2</w:t>
      </w:r>
    </w:p>
    <w:p>
      <w:pPr>
        <w:ind w:left="504"/>
      </w:pPr>
      <w:r>
        <w:rPr>
          <w:b w:val="0"/>
          <w:i/>
        </w:rPr>
        <w:t>Одновременное применение ципрофлоксацина и препаратов, содержащих теофиллин, может вызвать нежелательное повышение концентрации теофиллина в плазме крови и удлинение Т1/2 и соответственно теофиллинин-индуцированных неблагоприятных явлений.</w:t>
        <w:br/>
        <w:br/>
        <w:t>Инструкция по медицинскому применению лекарственного средства Ципрофлоксацин</w:t>
        <w:br/>
        <w:br/>
        <w:t>Побочное действие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совместном применении ципрофлоксацина и теофиллина необходим терапевтический лекарственный мониторинг ++________________++ теофиллина в плазме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объема распределения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биодоступности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периода полувыведения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концентрации</w:t>
      </w:r>
    </w:p>
    <w:p>
      <w:pPr>
        <w:ind w:left="504"/>
      </w:pPr>
      <w:r>
        <w:rPr>
          <w:b w:val="0"/>
          <w:i/>
        </w:rPr>
        <w:t>Если одновременное применение ципрофлоксацина и теофиллина неизбежно, то рекомендуется проводить постоянный контроль концентрации теофиллина в плазме крови и если необходимо снизить дозу теофиллина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 .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Ципрофлоксацин ++____++ антикоагулянтное действие варфарина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снижает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усиливает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влияет 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ингибирует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усиливает</w:t>
      </w:r>
    </w:p>
    <w:p>
      <w:pPr>
        <w:ind w:left="504"/>
      </w:pPr>
      <w:r>
        <w:rPr>
          <w:b w:val="0"/>
          <w:i/>
        </w:rPr>
        <w:t>Совместное применение Ципрофлоксацина и антагонистов витамина К (варфарин) может приводить к усилению антикоагулянтного действия варфарина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сочетанном применении ципрофлоксацина и антагонистов витамина К (варфарина) следует регулярно проводить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исследование противосвертывающей системы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терапевтический лекарственный мониторинг концентрации ципрофлоксацина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терапевтический лекарственный мониторинг концентрации варфарина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исследование свертывающей системы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исследование свертывающей системы крови</w:t>
      </w:r>
    </w:p>
    <w:p>
      <w:pPr>
        <w:ind w:left="504"/>
      </w:pPr>
      <w:r>
        <w:rPr>
          <w:b w:val="0"/>
          <w:i/>
        </w:rPr>
        <w:t>Для профилактики кровотечений следует достаточно часто контролировать МНО во время совместного применения ципрофлоксацина и варфарина</w:t>
        <w:br/>
        <w:br/>
        <w:t>Инструкция по медицинскому применению лекарственного средства Ципрофлоксацин</w:t>
        <w:br/>
        <w:br/>
        <w:t>Побочные действия</w:t>
        <w:br/>
        <w:br/>
      </w:r>
      <w:hyperlink r:id="rId12">
        <w:r>
          <w:rPr>
            <w:color w:val="0F766E"/>
            <w:u w:val="single"/>
          </w:rPr>
          <w:t>https://grls.rosminzdrav.ru/Grls_View_v2.aspx?routingGuid=f828f388-6135-49a3-b8f8-91c6b3cd546c&amp;t=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известной чувствительности грамположительного возбудителя возможно назначение Амоксициллин + клавулановая кислоты по ++___++ мг 3 раза в день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0,75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</w:t>
      </w:r>
    </w:p>
    <w:p>
      <w:pPr>
        <w:ind w:left="504"/>
      </w:pPr>
      <w:r>
        <w:rPr>
          <w:b w:val="0"/>
          <w:i/>
        </w:rPr>
        <w:t>Аминопенициллины + ингибиторы β-лактамаз рекомендованы при известной чувствительности к ним грамположительных микроорганизмов после получения результатов тестов антибиотикочувствительности выделенного возбудителя. Ежедневная доза лекарственного средства Амоксициллин + клавулановая кислоты составляет 0,5/0,125 г 3 раза в день</w:t>
        <w:br/>
        <w:br/>
        <w:t>Клинические рекомендации «Хронический пиелонефрит у взрослых» 2016</w:t>
        <w:br/>
        <w:br/>
        <w:t>3.2 Медикаментозное лечение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обострений пиелонефрита ++________________++ профилактический приём антибактериальных препаратов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рекомендован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 рекомендован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данному пациенту показан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рекомендован</w:t>
      </w:r>
    </w:p>
    <w:p>
      <w:pPr>
        <w:ind w:left="504"/>
      </w:pPr>
      <w:r>
        <w:rPr>
          <w:b w:val="0"/>
          <w:i/>
        </w:rPr>
        <w:t>После постановки диагноза хронический пиелонефрит проводится беседа о заболевании, его прогнозе и предполагаемой схеме лечения. Пациенту разъяснены сведения о возможных мерах профилактики обострений пиелонефрита, сведения об опасности бесконтрольного приёма антибактериальных препаратов</w:t>
        <w:br/>
        <w:br/>
        <w:t>Клинические рекомендации «Хронический пиелонефрит у взрослых» 2016</w:t>
        <w:br/>
        <w:br/>
        <w:t>Приложение В. Информация для пациентов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Не допускать переохлаждений и ++____________________++ – основные рекомендации по профилактики обострений у пациентов с хроническим пиелонефритом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соблюдать режим питания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коррекция углеводного обмена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производить коррекцию нарушений жирового обмена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соблюдать режим труда и отдыха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коррекция углеводного обмена</w:t>
      </w:r>
    </w:p>
    <w:p>
      <w:pPr>
        <w:ind w:left="504"/>
      </w:pPr>
      <w:r>
        <w:rPr>
          <w:b w:val="0"/>
          <w:i/>
        </w:rPr>
        <w:t>В качестве профилактики обострений хронического пиелонефрита пациентам рекомендуется исключить переохлаждения и произвести коррекцию нарушений углеводного обмена при их наличии</w:t>
        <w:br/>
        <w:br/>
        <w:t>Клинические рекомендации «Хронический пиелонефрит у взрослых» 2016</w:t>
        <w:br/>
        <w:br/>
        <w:t>5.{sp}Профилактика</w:t>
        <w:br/>
        <w:br/>
      </w:r>
      <w:hyperlink r:id="rId9">
        <w:r>
          <w:rPr>
            <w:color w:val="0F766E"/>
            <w:u w:val="single"/>
          </w:rPr>
          <w:t>Хронический пиелонефрит у взрослых. Клинические рекомендации Министерства здравоохранения Российской Федерации.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Клиническая фармакология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к пациентке Л, 31 года, которая проходит лечение туберкулёза мочеполовых органов в туберкулёзной больнице.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боль в поясничной области,</w:t>
      </w:r>
    </w:p>
    <w:p>
      <w:pPr>
        <w:spacing w:after="58"/>
      </w:pPr>
      <w:r>
        <w:rPr>
          <w:b w:val="0"/>
          <w:i w:val="0"/>
        </w:rPr>
        <w:t>* субфебрильную температуру,</w:t>
      </w:r>
    </w:p>
    <w:p>
      <w:pPr>
        <w:spacing w:after="58"/>
      </w:pPr>
      <w:r>
        <w:rPr>
          <w:b w:val="0"/>
          <w:i w:val="0"/>
        </w:rPr>
        <w:t>* частые позывы на мочеиспускание.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Поступила в стационар с подозрением на острый пиелонефрит. По результатам обследования, лабораторных и инструментальных данных установлен диагноз туберкулёз мочеполовых органов. Направлена в туберкулёзный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Рост и развитие без особенностей.</w:t>
      </w:r>
    </w:p>
    <w:p>
      <w:pPr>
        <w:spacing w:after="58"/>
      </w:pPr>
      <w:r>
        <w:rPr>
          <w:b w:val="0"/>
          <w:i w:val="0"/>
        </w:rPr>
        <w:t>* Перенесённые заболевания — ветряная оспа.</w:t>
      </w:r>
    </w:p>
    <w:p>
      <w:pPr>
        <w:spacing w:after="58"/>
      </w:pPr>
      <w:r>
        <w:rPr>
          <w:b w:val="0"/>
          <w:i w:val="0"/>
        </w:rPr>
        <w:t>* Операций не было.</w:t>
      </w:r>
    </w:p>
    <w:p>
      <w:pPr>
        <w:spacing w:after="58"/>
      </w:pPr>
      <w:r>
        <w:rPr>
          <w:b w:val="0"/>
          <w:i w:val="0"/>
        </w:rPr>
        <w:t>* Контакт с инфекционными больными отриц.</w:t>
      </w:r>
    </w:p>
    <w:p>
      <w:pPr>
        <w:spacing w:after="58"/>
      </w:pPr>
      <w:r>
        <w:rPr>
          <w:b w:val="0"/>
          <w:i w:val="0"/>
        </w:rPr>
        <w:t>* Аллергический анамнез – не отягощён.</w:t>
      </w:r>
    </w:p>
    <w:p>
      <w:pPr>
        <w:spacing w:after="58"/>
      </w:pPr>
      <w:r>
        <w:rPr>
          <w:b w:val="0"/>
          <w:i w:val="0"/>
        </w:rPr>
        <w:t>* Наследственность — не знает.</w:t>
      </w:r>
    </w:p>
    <w:p>
      <w:pPr>
        <w:spacing w:after="58"/>
      </w:pPr>
      <w:r>
        <w:rPr>
          <w:b w:val="0"/>
          <w:i w:val="0"/>
        </w:rPr>
        <w:t>* Питание нерегулярное, качественное.</w:t>
      </w:r>
    </w:p>
    <w:p>
      <w:pPr>
        <w:spacing w:after="58"/>
      </w:pPr>
      <w:r>
        <w:rPr>
          <w:b w:val="0"/>
          <w:i w:val="0"/>
        </w:rPr>
        <w:t>* Вредные привычки отриц.</w:t>
      </w:r>
    </w:p>
    <w:p>
      <w:pPr>
        <w:spacing w:after="58"/>
      </w:pPr>
      <w:r>
        <w:rPr>
          <w:b w:val="0"/>
          <w:i w:val="0"/>
        </w:rPr>
        <w:t>* Жилищно-бытовые условия удовлетворительные.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161 см, вес 55 кг. Состояние средней степени тяжести, сознание ясное. Кожа, слизистые физиологической окраски, удовлетворительной влажности. Периферические лимфатическое узлы не увеличены. Дыхание жёсткое. ЧДД=18/мин. Тоны сердца ясные, ритмичные, ЧСС 74/мин. АД 130/85 мм рт. ст. Живот безболезненный, доступен глубокой пальпации.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1. Консультирование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Пациентке с сохранённой чувствительностью возбудителя, или без бактериовыделения рекомендовано назначить рифампицин в дозе  +__+ мг/кг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изониазид (в дозе 5-10 мг/кг), рифампицин  (в дозе 10 мг/кг).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Пациентка была выписана, но через 7 месяцев поступила повторно с рецидивом туберкулёза мочеполовых органов. Рекомендовано назначить +__+ режим химиотерапии.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</w:t>
      </w:r>
    </w:p>
    <w:p>
      <w:pPr>
        <w:ind w:left="504"/>
      </w:pPr>
      <w:r>
        <w:rPr>
          <w:b w:val="0"/>
          <w:i/>
        </w:rPr>
        <w:t>Третий (III) режим химиотерапии назначают:</w:t>
        <w:br/>
        <w:br/>
        <w:t>* пациентам с рецидивом туберкулеза и другими случаями повторного лечения до получения результатов определения лекарственной чувствительности возбудителя, если во время предыдущего курса лечения чувствительность микобактерий туберкулеза к изониазиду и рифампицину была сохранена или не определялась.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фазе интенсивной терапии III режима применяется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канамицин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левофлоксацин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аминосалициловая кислота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пиразинамид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пиразинамид</w:t>
      </w:r>
    </w:p>
    <w:p>
      <w:pPr>
        <w:ind w:left="504"/>
      </w:pPr>
      <w:r>
        <w:rPr>
          <w:b w:val="0"/>
          <w:i/>
        </w:rPr>
        <w:t>Z – пиразинамид.</w:t>
        <w:br/>
        <w:br/>
      </w:r>
      <w:hyperlink r:id="rId18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органов дыхания у взрослых, 2018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Д. Режимы химиотерапии больных туберкулезом.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Режим дозирования пиразинамида составляет +__+ мг/кг/сутки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пиразинамид (в дозе 25 мг/кг).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фазе продолжения терапии III режима применяется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изониазид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меропенем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амоксициллин/клавуланат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моксифлоксацин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изониазид</w:t>
      </w:r>
    </w:p>
    <w:p>
      <w:pPr>
        <w:ind w:left="504"/>
      </w:pPr>
      <w:r>
        <w:rPr>
          <w:b w:val="0"/>
          <w:i/>
        </w:rPr>
        <w:t>H – изониазид.</w:t>
        <w:br/>
        <w:br/>
      </w:r>
      <w:hyperlink r:id="rId1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мочеполовых органов. 2016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Приложение Д. Режимы химиотерапии больных туберкулезом.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Режим дозирования изониазида составляет +___+ мг/кг/сутки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Рекомендуется назначать пациентам с УГТ с сохраненной чувствительностью возбудителя, или без бактериовыделения изониазид (в дозе 5-10 мг/кг).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Рекомендован +__+ режим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</w:t>
      </w:r>
    </w:p>
    <w:p>
      <w:pPr>
        <w:ind w:left="504"/>
      </w:pPr>
      <w:r>
        <w:rPr>
          <w:b w:val="0"/>
          <w:i/>
        </w:rPr>
        <w:t>Второй (II) режим химиотерапии назначают пациентам с туберкулезом при установленной молекулярно-генетическими и (или) культуральными методами устойчивости возбудителя к изониазиду или к изониазиду в сочетании с другими противотуберкулезными препаратами, но чувствительностью к рифампицину.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Во второй режим химиотерапии входит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цефалексин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рифампицин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амоксициллин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цефепим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рифампицин</w:t>
      </w:r>
    </w:p>
    <w:p>
      <w:pPr>
        <w:ind w:left="504"/>
      </w:pPr>
      <w:r>
        <w:rPr>
          <w:b w:val="0"/>
          <w:i/>
        </w:rPr>
        <w:t>Fq –фторхинолон.</w:t>
        <w:br/>
        <w:br/>
      </w:r>
      <w:hyperlink r:id="rId15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мочеполовых органов. 2016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Фторхинолонами, рекомендованными при туберкулёзе мочеполовых путей,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пефлоксацин, ципрофлоксацин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левофлоксацин, 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моксифлоксацин, спарфлоксацин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ципрофлоксаин, спарфлоксацин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левофлоксацин, офлоксацин</w:t>
      </w:r>
    </w:p>
    <w:p>
      <w:pPr>
        <w:ind w:left="504"/>
      </w:pPr>
      <w:r>
        <w:rPr>
          <w:b w:val="0"/>
          <w:i/>
        </w:rPr>
        <w:t>Рекомендуется пациентам с УГТ и поражением органов малого таза, при сопутствующем пиелонефрите назначать офлоксацин или левофлоксацин.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Спарфлоксацин и моксифлоксацин не рекомендованы при туберкулёзе мочеполовых органов в связи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высокой нефротоксичностью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высокой ототоксичностью и нейротоксичностью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высокой частотой развития нежелательных реакций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низкой концентрацией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низкой концентрацией в моче</w:t>
      </w:r>
    </w:p>
    <w:p>
      <w:pPr>
        <w:ind w:left="504"/>
      </w:pPr>
      <w:r>
        <w:rPr>
          <w:b w:val="0"/>
          <w:i/>
        </w:rPr>
        <w:t>Моксифлоксацин и спарфлоксацин не являются оптимальными фторхинолонами для лечения инфекционно-воспалительных заболеваний мочеполовой системы, так как имеют низкую концентрацию в моче.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Режим дозирования левофлоксацина составляет +______+ мг/сутки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900-1200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1000-1500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500-750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500-750</w:t>
      </w:r>
    </w:p>
    <w:p>
      <w:pPr>
        <w:ind w:left="504"/>
      </w:pPr>
      <w:r>
        <w:rPr>
          <w:b w:val="0"/>
          <w:i/>
        </w:rPr>
        <w:t>Рекомендуется пациентам с УГТ и поражением органов малого таза, при сопутствующем пиелонефрите назначать офлоксацин или левофлоксацин (в дозе 500-750 мг).</w:t>
        <w:br/>
        <w:br/>
      </w:r>
      <w:hyperlink r:id="rId15">
        <w:r>
          <w:rPr>
            <w:color w:val="0F766E"/>
            <w:u w:val="single"/>
          </w:rPr>
          <w:t>Туберкулез мочеполовых органов.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3.1. Консервативное лечение.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Широкой лекарственной устойчивостью у МБТ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одновременную резистентность к изониазиду, рифампицину, фторхинолону и аминогликозиду/полипептиду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одновременную устойчивость к изониазиду, рифампицину, этамбутолу, пиразинамиду, карбапенему и аминосалициловой кислоте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одновременную устойчивость к изониазиду и рифампицину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устойчивость ко всем известным противотуберкулёзным препаратам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одновременную резистентность к изониазиду, рифампицину, фторхинолону и аминогликозиду/полипептиду</w:t>
      </w:r>
    </w:p>
    <w:p>
      <w:pPr>
        <w:ind w:left="504"/>
      </w:pPr>
      <w:r>
        <w:rPr>
          <w:b w:val="0"/>
          <w:i/>
        </w:rPr>
        <w:t>Множественная лекарственная устойчивость (МЛУ) – устойчивость микобактерии туберкулеза одновременно к изониазиду и рифампицину независимо от наличия устойчивости к другим противотуберкулезным препаратам.</w:t>
        <w:br/>
        <w:br/>
      </w:r>
      <w:hyperlink r:id="rId23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2022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55/" TargetMode="External"/><Relationship Id="rId10" Type="http://schemas.openxmlformats.org/officeDocument/2006/relationships/hyperlink" Target="https://library.mededtech.ru/rest/documents/cr_55/#table_m2nim" TargetMode="External"/><Relationship Id="rId11" Type="http://schemas.openxmlformats.org/officeDocument/2006/relationships/hyperlink" Target="https://library.mededtech.ru/rest/documents/cr_55/#list_item_bro62" TargetMode="External"/><Relationship Id="rId12" Type="http://schemas.openxmlformats.org/officeDocument/2006/relationships/hyperlink" Target="https://grls.rosminzdrav.ru/Grls_View_v2.aspx?routingGuid=f828f388-6135-49a3-b8f8-91c6b3cd546c&amp;t=" TargetMode="External"/><Relationship Id="rId13" Type="http://schemas.openxmlformats.org/officeDocument/2006/relationships/hyperlink" Target="https://library.mededtech.ru/rest/documents/cr_55/#paragraph_k441l" TargetMode="External"/><Relationship Id="rId14" Type="http://schemas.openxmlformats.org/officeDocument/2006/relationships/hyperlink" Target="https://library.mededtech.ru/rest/documents/cr_55/#doc_5" TargetMode="External"/><Relationship Id="rId15" Type="http://schemas.openxmlformats.org/officeDocument/2006/relationships/hyperlink" Target="https://library.mededtech.ru/rest/documents/cr_355/" TargetMode="External"/><Relationship Id="rId16" Type="http://schemas.openxmlformats.org/officeDocument/2006/relationships/hyperlink" Target="https://library.mededtech.ru/rest/documents/cr_355/#list_item_7i3uo" TargetMode="External"/><Relationship Id="rId17" Type="http://schemas.openxmlformats.org/officeDocument/2006/relationships/hyperlink" Target="https://library.mededtech.ru/rest/documents/cr_355/#list_item_30mjt" TargetMode="External"/><Relationship Id="rId18" Type="http://schemas.openxmlformats.org/officeDocument/2006/relationships/hyperlink" Target="https://library.mededtech.ru/rest/documents/cr_943/" TargetMode="External"/><Relationship Id="rId19" Type="http://schemas.openxmlformats.org/officeDocument/2006/relationships/hyperlink" Target="https://library.mededtech.ru/rest/documents/cr_943/#pril3" TargetMode="External"/><Relationship Id="rId20" Type="http://schemas.openxmlformats.org/officeDocument/2006/relationships/hyperlink" Target="https://library.mededtech.ru/rest/documents/cr_355/#paragraph_i49p3" TargetMode="External"/><Relationship Id="rId21" Type="http://schemas.openxmlformats.org/officeDocument/2006/relationships/hyperlink" Target="https://library.mededtech.ru/rest/documents/cr_355/#list_item_hentn" TargetMode="External"/><Relationship Id="rId22" Type="http://schemas.openxmlformats.org/officeDocument/2006/relationships/hyperlink" Target="https://library.mededtech.ru/rest/documents/cr_355/#paragraph_60ac2" TargetMode="External"/><Relationship Id="rId23" Type="http://schemas.openxmlformats.org/officeDocument/2006/relationships/hyperlink" Target="https://library.mededtech.ru/rest/documents/KP16_2/" TargetMode="External"/><Relationship Id="rId24" Type="http://schemas.openxmlformats.org/officeDocument/2006/relationships/hyperlink" Target="https://library.mededtech.ru/rest/documents/KP16_2/#paragraph_mtd6h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